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D358A" w14:textId="2BC30B14" w:rsidR="39AA03D9" w:rsidRDefault="522BE305" w:rsidP="09C30C61">
      <w:pPr>
        <w:rPr>
          <w:b/>
          <w:bCs/>
          <w:sz w:val="32"/>
          <w:szCs w:val="32"/>
        </w:rPr>
      </w:pPr>
      <w:r w:rsidRPr="09C30C61">
        <w:rPr>
          <w:b/>
          <w:bCs/>
          <w:sz w:val="32"/>
          <w:szCs w:val="32"/>
        </w:rPr>
        <w:t>Risikovurdering for kritiske risikoscenarioer.</w:t>
      </w:r>
    </w:p>
    <w:p w14:paraId="5227B55B" w14:textId="2B9BD132" w:rsidR="616B0135" w:rsidRDefault="616B0135" w:rsidP="09C30C61">
      <w:p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Parameter; Sannsynlighet (A), Alvorlighetsgrad (B) og Varighet (C)</w:t>
      </w:r>
    </w:p>
    <w:p w14:paraId="0AA0ADBC" w14:textId="6235CB27" w:rsidR="616B0135" w:rsidRDefault="616B0135" w:rsidP="09C30C61">
      <w:pPr>
        <w:rPr>
          <w:sz w:val="24"/>
          <w:szCs w:val="24"/>
        </w:rPr>
      </w:pPr>
      <w:r w:rsidRPr="09C30C61">
        <w:rPr>
          <w:sz w:val="24"/>
          <w:szCs w:val="24"/>
        </w:rPr>
        <w:t>Sannsynlighet: Sannsynligheten for at scenarioet inntreffer</w:t>
      </w:r>
      <w:r>
        <w:br/>
      </w:r>
      <w:r w:rsidR="19A95003" w:rsidRPr="09C30C61">
        <w:rPr>
          <w:sz w:val="24"/>
          <w:szCs w:val="24"/>
        </w:rPr>
        <w:t>Alvorlighet: Scenarioets alvorlighetsgrad</w:t>
      </w:r>
      <w:r>
        <w:br/>
      </w:r>
      <w:r w:rsidR="19A95003" w:rsidRPr="09C30C61">
        <w:rPr>
          <w:sz w:val="24"/>
          <w:szCs w:val="24"/>
        </w:rPr>
        <w:t xml:space="preserve">Varighet: Scenarioets varighet </w:t>
      </w:r>
    </w:p>
    <w:p w14:paraId="1DCDBE1A" w14:textId="76483665" w:rsidR="09C30C61" w:rsidRDefault="09C30C61" w:rsidP="09C30C61">
      <w:pPr>
        <w:rPr>
          <w:sz w:val="24"/>
          <w:szCs w:val="24"/>
        </w:rPr>
      </w:pPr>
    </w:p>
    <w:p w14:paraId="64221B29" w14:textId="41EBE46D" w:rsidR="74138983" w:rsidRDefault="74138983" w:rsidP="09C30C61">
      <w:pPr>
        <w:rPr>
          <w:sz w:val="24"/>
          <w:szCs w:val="24"/>
        </w:rPr>
      </w:pPr>
      <w:r w:rsidRPr="09C30C61">
        <w:rPr>
          <w:sz w:val="24"/>
          <w:szCs w:val="24"/>
        </w:rPr>
        <w:t>E</w:t>
      </w:r>
      <w:r w:rsidR="19A95003" w:rsidRPr="09C30C61">
        <w:rPr>
          <w:sz w:val="24"/>
          <w:szCs w:val="24"/>
        </w:rPr>
        <w:t xml:space="preserve">ksempler på risikovurderinger for kritiske risikoscenarioer. </w:t>
      </w:r>
      <w:r>
        <w:br/>
      </w:r>
      <w:r w:rsidR="19A95003" w:rsidRPr="09C30C61">
        <w:rPr>
          <w:sz w:val="24"/>
          <w:szCs w:val="24"/>
        </w:rPr>
        <w:t xml:space="preserve">Rangering av risiko per parameter. 5 høyest skår,1=laveste skår. </w:t>
      </w:r>
      <w:r>
        <w:br/>
      </w:r>
      <w:r w:rsidR="19A95003" w:rsidRPr="09C30C61">
        <w:rPr>
          <w:sz w:val="24"/>
          <w:szCs w:val="24"/>
        </w:rPr>
        <w:t>Samlet rangering av risikobilde: 15 = høyeste skår, 3 = laveste skår.</w:t>
      </w:r>
    </w:p>
    <w:p w14:paraId="7E4F1878" w14:textId="7F216D04" w:rsidR="16F31A66" w:rsidRDefault="16F31A66" w:rsidP="09C30C61">
      <w:p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Risikoscenarioer med høyt risikobilde skal inkluderes i en blodberedskapsplan.</w:t>
      </w:r>
    </w:p>
    <w:p w14:paraId="564AA87D" w14:textId="7C6DE0DF" w:rsidR="494F04F1" w:rsidRDefault="494F04F1" w:rsidP="09C30C61">
      <w:p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Det anbefales at minst disse risikoscenarioene blir inkludert i en blodberedskapsplan:</w:t>
      </w:r>
    </w:p>
    <w:p w14:paraId="58B75C2F" w14:textId="7D0E8536" w:rsidR="494F04F1" w:rsidRDefault="494F04F1" w:rsidP="09C30C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Forsyningssvikt av kritisk forbruksmateriell</w:t>
      </w:r>
    </w:p>
    <w:p w14:paraId="07B5E55C" w14:textId="618F3577" w:rsidR="494F04F1" w:rsidRDefault="494F04F1" w:rsidP="09C30C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Epidemi/pandemi</w:t>
      </w:r>
    </w:p>
    <w:p w14:paraId="341F6239" w14:textId="71BCD562" w:rsidR="494F04F1" w:rsidRDefault="494F04F1" w:rsidP="09C30C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Terror, krise og krig</w:t>
      </w:r>
    </w:p>
    <w:p w14:paraId="1295E001" w14:textId="6C03FBC6" w:rsidR="494F04F1" w:rsidRDefault="494F04F1" w:rsidP="09C30C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Strømsvikt</w:t>
      </w:r>
    </w:p>
    <w:p w14:paraId="222B7A39" w14:textId="5B8CF333" w:rsidR="494F04F1" w:rsidRDefault="494F04F1" w:rsidP="09C30C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9C30C61">
        <w:rPr>
          <w:b/>
          <w:bCs/>
          <w:sz w:val="24"/>
          <w:szCs w:val="24"/>
        </w:rPr>
        <w:t>IT svikt</w:t>
      </w:r>
    </w:p>
    <w:p w14:paraId="4AD7DA5E" w14:textId="74A7B9DB" w:rsidR="053DB486" w:rsidRDefault="053DB486" w:rsidP="09C30C61">
      <w:r>
        <w:t>Bortsett fra disse kan det være enda flere risikoscenarioer som bør inkluderes hvis det vurderes at innvirkningen på blodlageret er høy nok. Det kan vurderes</w:t>
      </w:r>
      <w:r w:rsidR="17ED4590">
        <w:t xml:space="preserve"> forskjellig fra blodbank til blodbank og vil være avhengig av f.eks lokale forhold (lokasjon, </w:t>
      </w:r>
      <w:r w:rsidR="2F7E06F6">
        <w:t>infrastru</w:t>
      </w:r>
      <w:r w:rsidR="7810D925">
        <w:t xml:space="preserve">ktur </w:t>
      </w:r>
      <w:r w:rsidR="2F7E06F6">
        <w:t>og størrelse)</w:t>
      </w:r>
    </w:p>
    <w:p w14:paraId="10B67F44" w14:textId="59D61381" w:rsidR="09C30C61" w:rsidRDefault="09C30C61" w:rsidP="09C30C61"/>
    <w:p w14:paraId="3C904B70" w14:textId="7AEEAADA" w:rsidR="09C30C61" w:rsidRDefault="09C30C61" w:rsidP="09C30C61"/>
    <w:p w14:paraId="1456ACC9" w14:textId="147F7B7E" w:rsidR="09C30C61" w:rsidRDefault="09C30C61" w:rsidP="09C30C61"/>
    <w:p w14:paraId="625E36F8" w14:textId="307A90B8" w:rsidR="09C30C61" w:rsidRDefault="09C30C61" w:rsidP="09C30C61"/>
    <w:p w14:paraId="532D68C3" w14:textId="48AB8FE3" w:rsidR="09C30C61" w:rsidRDefault="09C30C61" w:rsidP="09C30C6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315"/>
        <w:gridCol w:w="6285"/>
        <w:gridCol w:w="1564"/>
        <w:gridCol w:w="1440"/>
        <w:gridCol w:w="1703"/>
      </w:tblGrid>
      <w:tr w:rsidR="09C30C61" w14:paraId="0A82C3E5" w14:textId="77777777" w:rsidTr="2EDE5C95">
        <w:trPr>
          <w:trHeight w:val="540"/>
        </w:trPr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31CF39DD" w14:textId="1FE1C10C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Kritiske risikoscenarier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0932FF1A" w14:textId="3B9F08B0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Rangering av forekomst</w:t>
            </w:r>
          </w:p>
        </w:tc>
        <w:tc>
          <w:tcPr>
            <w:tcW w:w="6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490F34CC" w14:textId="7F770760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Mulige konsekvenser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027FFC2" w14:textId="1E4FE563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Rangering av konsekvenser</w:t>
            </w:r>
          </w:p>
        </w:tc>
        <w:tc>
          <w:tcPr>
            <w:tcW w:w="1703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762FFDEB" w14:textId="0C73EA1C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Samlet rangering </w:t>
            </w:r>
          </w:p>
          <w:p w14:paraId="04FD0915" w14:textId="64A10978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av risikoscenarier</w:t>
            </w:r>
          </w:p>
        </w:tc>
      </w:tr>
      <w:tr w:rsidR="09C30C61" w14:paraId="0421B8E6" w14:textId="77777777" w:rsidTr="2EDE5C95">
        <w:trPr>
          <w:trHeight w:val="540"/>
        </w:trPr>
        <w:tc>
          <w:tcPr>
            <w:tcW w:w="1689" w:type="dxa"/>
            <w:vMerge/>
            <w:vAlign w:val="center"/>
          </w:tcPr>
          <w:p w14:paraId="04B69427" w14:textId="77777777" w:rsidR="00411A03" w:rsidRDefault="00411A03"/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2E44A344" w14:textId="2A11F5DF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(A)</w:t>
            </w:r>
          </w:p>
          <w:p w14:paraId="04766180" w14:textId="09C516C1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sannsynlighet</w:t>
            </w:r>
          </w:p>
        </w:tc>
        <w:tc>
          <w:tcPr>
            <w:tcW w:w="6285" w:type="dxa"/>
            <w:vMerge/>
            <w:vAlign w:val="center"/>
          </w:tcPr>
          <w:p w14:paraId="0958BFC1" w14:textId="77777777" w:rsidR="00411A03" w:rsidRDefault="00411A03"/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5C5AB352" w14:textId="253CC5C4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(B)</w:t>
            </w:r>
          </w:p>
          <w:p w14:paraId="11B83CAB" w14:textId="7BF736CF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alvorlighetsgrad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13B848A5" w14:textId="3B1C2422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(C)</w:t>
            </w:r>
          </w:p>
          <w:p w14:paraId="6CACB413" w14:textId="05263FC8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varighet</w:t>
            </w:r>
          </w:p>
        </w:tc>
        <w:tc>
          <w:tcPr>
            <w:tcW w:w="1703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14:paraId="69FB78FC" w14:textId="0D3889AA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(A + B + C)</w:t>
            </w:r>
          </w:p>
        </w:tc>
      </w:tr>
      <w:tr w:rsidR="09C30C61" w14:paraId="745734F5" w14:textId="77777777" w:rsidTr="2EDE5C95">
        <w:trPr>
          <w:trHeight w:val="2280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48CBF" w14:textId="66BBE13D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>Terror, krise og krig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F3F53C" w14:textId="25672C9A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5DBAA06E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6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24A831" w14:textId="6EAE4783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Økt behov for blod og blodkomponenter</w:t>
            </w:r>
            <w:r w:rsidRPr="09C30C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B9A891E" w14:textId="49BD5D95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  <w:u w:val="single"/>
              </w:rPr>
              <w:t>Behov for å bistå Forsvaret og andre blodbanker med blod og blodkomponenter</w:t>
            </w:r>
          </w:p>
          <w:p w14:paraId="1CD14355" w14:textId="693259D9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  <w:u w:val="single"/>
              </w:rPr>
              <w:t>Massetilstrømning av pasienter ved eget sykehus:</w:t>
            </w:r>
          </w:p>
          <w:p w14:paraId="615B5FBD" w14:textId="6F8F0599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C39A32" w14:textId="0C0CE0E8" w:rsidR="09C30C61" w:rsidRDefault="09C30C61" w:rsidP="005C21F0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Utfordringer med forsendelse av blod og blodkomponenter.</w:t>
            </w:r>
          </w:p>
          <w:p w14:paraId="2703EA7A" w14:textId="5298EBF6" w:rsidR="09C30C61" w:rsidRDefault="09C30C61" w:rsidP="005C21F0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økt innkalling av blodgivere og utvidet åpningstid (redusert tilgang på blodgivere).</w:t>
            </w:r>
          </w:p>
          <w:p w14:paraId="570D6C58" w14:textId="1265BCC6" w:rsidR="09C30C61" w:rsidRDefault="09C30C61" w:rsidP="005C21F0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økt personalressurser, omprioritering av ressurser.</w:t>
            </w:r>
          </w:p>
          <w:p w14:paraId="60D6B210" w14:textId="0A35474A" w:rsidR="09C30C61" w:rsidRDefault="09C30C61" w:rsidP="005C21F0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 xml:space="preserve">Behov for bruk av alternative blodprodukter som fullblod, enkeltgiver plasma og ev egentillaget kryopresipitat. </w:t>
            </w:r>
          </w:p>
          <w:p w14:paraId="2CBF2821" w14:textId="575DF73D" w:rsidR="09C30C61" w:rsidRDefault="09C30C61" w:rsidP="005C21F0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Forsinket utlevering og ev prioritert bruk av blod og blodkomponenter ved eget sykehus.</w:t>
            </w:r>
          </w:p>
          <w:p w14:paraId="7098749F" w14:textId="4AD36214" w:rsidR="09C30C61" w:rsidRDefault="09C30C61" w:rsidP="09C30C6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br/>
            </w:r>
            <w:r w:rsidRPr="09C30C6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FD9FB0" w14:textId="14A111F0" w:rsidR="2208EC7C" w:rsidRDefault="2208EC7C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67F8E29" w14:textId="37F0A2FD" w:rsidR="06684A5C" w:rsidRDefault="06684A5C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6125EDE0" w14:textId="7CC7A08D" w:rsidR="64792C2E" w:rsidRDefault="64792C2E" w:rsidP="09C30C6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9C30C61" w14:paraId="273CA1AF" w14:textId="77777777" w:rsidTr="2EDE5C95">
        <w:trPr>
          <w:trHeight w:val="243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2BA34" w14:textId="081F9161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354E4D" w14:textId="2A747871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7EA8C6" w14:textId="64E9C34D" w:rsidR="09C30C61" w:rsidRDefault="09C30C61" w:rsidP="09C30C61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6CD00B5" w14:textId="5B3E703A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>Forsyningssvikt av kritisk forbruksmateriell</w:t>
            </w:r>
          </w:p>
          <w:p w14:paraId="2284BA5C" w14:textId="029EA675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AD721B" w14:textId="32DA2874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EF4CC8" w14:textId="285D4E60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F7E278" w14:textId="39B926C8" w:rsidR="642136D2" w:rsidRDefault="642136D2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978B2" w14:textId="1FDBA41A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  <w:u w:val="single"/>
              </w:rPr>
              <w:t>Forsyningssvikt av Octaplasma og Lyoplas:</w:t>
            </w: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0C65DD" w14:textId="1A07FB3D" w:rsidR="09C30C61" w:rsidRDefault="09C30C61" w:rsidP="005C21F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utvidet lagringstid av Octaplasma på lager (frosset og tint) og ev Lyoplas (15 mnd.)</w:t>
            </w:r>
          </w:p>
          <w:p w14:paraId="530C437B" w14:textId="778F6A2C" w:rsidR="09C30C61" w:rsidRDefault="09C30C61" w:rsidP="005C21F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Benytte alternative plasmaholdige blodprodukter.</w:t>
            </w:r>
          </w:p>
          <w:p w14:paraId="40D1673D" w14:textId="14628AA0" w:rsidR="09C30C61" w:rsidRDefault="09C30C61" w:rsidP="005C21F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bruk av enkeltgiverplasma.</w:t>
            </w:r>
          </w:p>
          <w:p w14:paraId="6BB4EA4A" w14:textId="78B0848E" w:rsidR="09C30C61" w:rsidRDefault="09C30C61" w:rsidP="005C21F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økt innkalling av blodgivere og plasmafereser.</w:t>
            </w:r>
          </w:p>
          <w:p w14:paraId="199E0D84" w14:textId="1EB28E79" w:rsidR="09C30C61" w:rsidRDefault="09C30C61" w:rsidP="005C21F0">
            <w:pPr>
              <w:pStyle w:val="ListParagraph"/>
              <w:numPr>
                <w:ilvl w:val="0"/>
                <w:numId w:val="8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Forsinket utlevering og ev prioritert bruk av blod og blodkomponenter.</w:t>
            </w:r>
          </w:p>
          <w:p w14:paraId="12E9D950" w14:textId="248990DF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8823CC" w14:textId="6D105B6B" w:rsidR="4D04C97E" w:rsidRDefault="4D04C97E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69BF05" w14:textId="1CE854CB" w:rsidR="1C5F85A0" w:rsidRDefault="1C5F85A0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A5A091D" w14:textId="51E2D607" w:rsidR="270EAE6B" w:rsidRDefault="270EAE6B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9C30C61" w14:paraId="49F3AC35" w14:textId="77777777" w:rsidTr="2EDE5C95">
        <w:trPr>
          <w:trHeight w:val="7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92D39" w14:textId="2798D687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39A36B" w14:textId="25B96D3B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F68FD92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1B5903F" w14:textId="17EB2803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  <w:u w:val="single"/>
              </w:rPr>
              <w:t>Forsyningssvikt av kritisk forbruksmateriell til tapping, produksjon, testing og analysering av blod og blodkomponenter</w:t>
            </w: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1D5C62" w14:textId="182EDB82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>Konsekvens vil avhengig av hvilket forbruksmateriell som mangler</w:t>
            </w:r>
          </w:p>
          <w:p w14:paraId="408281BF" w14:textId="11C7B04D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utvidet holdbarhet på kritisk forbruksmateriell</w:t>
            </w:r>
          </w:p>
          <w:p w14:paraId="1A6229BF" w14:textId="7BC0E6B2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 xml:space="preserve">Behov for bruk av alternativt utstyr til tapping </w:t>
            </w:r>
          </w:p>
          <w:p w14:paraId="46389A58" w14:textId="558CDC61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bruk av alternative metoder for produksjon inkl patogeninaktivering</w:t>
            </w:r>
          </w:p>
          <w:p w14:paraId="6451D68D" w14:textId="05BE0C61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utvidet lagringstid på blod og blodkomponeter på lager</w:t>
            </w:r>
          </w:p>
          <w:p w14:paraId="65B2D7F9" w14:textId="10773D08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bruk av alternative metoder for testing (infeksjonsscreening) og analysering (blodtyping, screening) av blod.</w:t>
            </w:r>
          </w:p>
          <w:p w14:paraId="162BC8A9" w14:textId="1420C354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Behov for alternativer til transfusjonssett (slange uten filter).</w:t>
            </w:r>
          </w:p>
          <w:p w14:paraId="1779E589" w14:textId="7E84C3D7" w:rsidR="09C30C61" w:rsidRDefault="09C30C61" w:rsidP="005C21F0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Forsinket utlevering og ev prioritert bruk av blod og blodkomponenter.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E25241" w14:textId="10EAA043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3FBF7AC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E138AC7" w14:textId="4E06E776" w:rsidR="13FBF7AC" w:rsidRDefault="13FBF7AC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27CA591F" w14:textId="710E4B7C" w:rsidR="4AE12F55" w:rsidRDefault="4AE12F55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9C30C61" w14:paraId="374DD1B3" w14:textId="77777777" w:rsidTr="2EDE5C95">
        <w:trPr>
          <w:trHeight w:val="141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87B225" w14:textId="25C2054C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>Ekstremvær</w:t>
            </w:r>
          </w:p>
          <w:p w14:paraId="0AF12740" w14:textId="486D03AE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83303F" w14:textId="0955CFF2" w:rsidR="6DACCB7D" w:rsidRDefault="6DACCB7D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E9F41" w14:textId="4B83072C" w:rsidR="09C30C61" w:rsidRDefault="09C30C61" w:rsidP="005C21F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Redusert tilgang på blodgivere.</w:t>
            </w:r>
          </w:p>
          <w:p w14:paraId="06D890F1" w14:textId="59D2AB7D" w:rsidR="09C30C61" w:rsidRDefault="09C30C61" w:rsidP="005C21F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443DDB3E">
              <w:rPr>
                <w:color w:val="000000" w:themeColor="text1"/>
                <w:sz w:val="20"/>
                <w:szCs w:val="20"/>
              </w:rPr>
              <w:t>Redusert tilgang på personell.</w:t>
            </w:r>
          </w:p>
          <w:p w14:paraId="660862F1" w14:textId="5A64BA08" w:rsidR="77F3B3D2" w:rsidRDefault="77F3B3D2" w:rsidP="005C21F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443DDB3E">
              <w:rPr>
                <w:color w:val="000000" w:themeColor="text1"/>
                <w:sz w:val="20"/>
                <w:szCs w:val="20"/>
              </w:rPr>
              <w:t>Behov for å aktivere vandrende blodbank (hvis etablert)</w:t>
            </w:r>
          </w:p>
          <w:p w14:paraId="10047953" w14:textId="5D535E83" w:rsidR="09C30C61" w:rsidRDefault="09C30C61" w:rsidP="005C21F0">
            <w:pPr>
              <w:pStyle w:val="ListParagraph"/>
              <w:numPr>
                <w:ilvl w:val="0"/>
                <w:numId w:val="6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443DDB3E">
              <w:rPr>
                <w:color w:val="000000" w:themeColor="text1"/>
                <w:sz w:val="20"/>
                <w:szCs w:val="20"/>
              </w:rPr>
              <w:t>Forsyningssvikt av kritisk forbruksmateriell (forsyningslinjer brutt).</w:t>
            </w:r>
          </w:p>
          <w:p w14:paraId="7471143C" w14:textId="1EF1DE4C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Forsinket utlevering og ev prioritert bruk av blod og blodkomponenter.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29D022" w14:textId="1EF37CCD" w:rsidR="3A800A0C" w:rsidRDefault="3A800A0C" w:rsidP="09C30C6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87E77EA" w14:textId="23A08677" w:rsidR="1F92A14B" w:rsidRDefault="1F92A14B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0D369FEF" w14:textId="09E9AC68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643F9708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  <w:tr w:rsidR="09C30C61" w14:paraId="509E165C" w14:textId="77777777" w:rsidTr="2EDE5C95">
        <w:trPr>
          <w:trHeight w:val="141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AFA0BA" w14:textId="6461D539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>Epidemier/pandemier</w:t>
            </w:r>
          </w:p>
          <w:p w14:paraId="76478F95" w14:textId="60AAA573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718310C" w14:textId="63DD6D58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18085C" w14:textId="413B6FE1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FFC00B" w14:textId="00DD709F" w:rsidR="09C30C61" w:rsidRDefault="09C30C61" w:rsidP="09C30C6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EDE5C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71A74CFC" w:rsidRPr="2EDE5C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9F6282" w14:textId="08AC7640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Redusert tilgang til blodgivere</w:t>
            </w:r>
          </w:p>
          <w:p w14:paraId="06EBEBD4" w14:textId="18790363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Personellmangel pga sykdom blant personalet</w:t>
            </w:r>
          </w:p>
          <w:p w14:paraId="17638BE2" w14:textId="07DAEF6E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Økt behov for rekonvalesensplasma og evt andre blodprodukter</w:t>
            </w:r>
          </w:p>
          <w:p w14:paraId="30F4DBDB" w14:textId="1F5F1195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utvidet lagringstid av blod og blodkomponenter på lager.</w:t>
            </w:r>
          </w:p>
          <w:p w14:paraId="606E54F9" w14:textId="693653AB" w:rsidR="09C30C61" w:rsidRDefault="09C30C61" w:rsidP="005C21F0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Forsinket utlevering og ev prioritert bruk av blod og blodkomponenter.</w:t>
            </w:r>
          </w:p>
          <w:p w14:paraId="559725AF" w14:textId="29C89A69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B095A" w14:textId="3D74ADE5" w:rsidR="48893741" w:rsidRDefault="4889374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F86620D" w14:textId="3890BEE9" w:rsidR="620EAE97" w:rsidRDefault="620EAE97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73D57D3F" w14:textId="0B743902" w:rsidR="11DF0724" w:rsidRDefault="11DF0724" w:rsidP="2EDE5C9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EDE5C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</w:tr>
      <w:tr w:rsidR="09C30C61" w14:paraId="32A66DAB" w14:textId="77777777" w:rsidTr="2EDE5C95">
        <w:trPr>
          <w:trHeight w:val="114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0CF008" w14:textId="6D7CB081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 xml:space="preserve">Strømbrudd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9A1031" w14:textId="73D5F715" w:rsidR="09C30C61" w:rsidRDefault="09C30C6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DABF50E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6D9BB" w14:textId="588B42D4" w:rsidR="09C30C61" w:rsidRDefault="09C30C61" w:rsidP="005C21F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Bruk av nødstrøm/prioritert strøm.</w:t>
            </w:r>
          </w:p>
          <w:p w14:paraId="5FDE2993" w14:textId="57E43659" w:rsidR="09C30C61" w:rsidRDefault="09C30C61" w:rsidP="005C21F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Økt behov for personalressurser, omprioritering av ressurser</w:t>
            </w:r>
          </w:p>
          <w:p w14:paraId="22D0E5AB" w14:textId="302E7EB4" w:rsidR="09C30C61" w:rsidRDefault="09C30C61" w:rsidP="005C21F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 xml:space="preserve">Bruk av manuelle rutiner </w:t>
            </w:r>
          </w:p>
          <w:p w14:paraId="727A52F9" w14:textId="1F60C805" w:rsidR="09C30C61" w:rsidRDefault="09C30C61" w:rsidP="005C21F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9C30C61">
              <w:rPr>
                <w:sz w:val="20"/>
                <w:szCs w:val="20"/>
              </w:rPr>
              <w:t>Mulig forsinket utlevering og prioritert bruk av blod og blodkomponenter</w:t>
            </w:r>
          </w:p>
          <w:p w14:paraId="10B07659" w14:textId="348F5C48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CC00D2" w14:textId="035FC75C" w:rsidR="69F36DCD" w:rsidRDefault="69F36DCD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3C228A1" w14:textId="0F49033B" w:rsidR="5B9F3E53" w:rsidRDefault="5B9F3E53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0CECF8D" w14:textId="3BAE991C" w:rsidR="06247D6B" w:rsidRDefault="06247D6B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9C30C61" w14:paraId="171153EB" w14:textId="77777777" w:rsidTr="2EDE5C95">
        <w:trPr>
          <w:trHeight w:val="85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6AEFA0" w14:textId="2202FFA7" w:rsidR="09C30C61" w:rsidRDefault="09C30C61" w:rsidP="09C30C61">
            <w:pPr>
              <w:spacing w:after="0"/>
            </w:pPr>
            <w:r w:rsidRPr="09C30C61">
              <w:rPr>
                <w:b/>
                <w:bCs/>
                <w:color w:val="000000" w:themeColor="text1"/>
                <w:sz w:val="20"/>
                <w:szCs w:val="20"/>
              </w:rPr>
              <w:t>IT-stans</w:t>
            </w:r>
          </w:p>
          <w:p w14:paraId="359B1758" w14:textId="5284D254" w:rsidR="09C30C61" w:rsidRDefault="09C30C61" w:rsidP="09C30C61">
            <w:pPr>
              <w:spacing w:after="0"/>
            </w:pPr>
            <w:r w:rsidRPr="09C30C6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0FC4B1" w14:textId="79C38FB6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EBB702B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="567ED8A3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F8E95A" w14:textId="50C7034B" w:rsidR="09C30C61" w:rsidRDefault="09C30C61" w:rsidP="005C21F0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Bruk av manuelle rutiner</w:t>
            </w:r>
          </w:p>
          <w:p w14:paraId="36888E4D" w14:textId="71914D51" w:rsidR="09C30C61" w:rsidRDefault="09C30C61" w:rsidP="005C21F0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Økt behov for personalressurser, omprioritering av ressurser.</w:t>
            </w:r>
          </w:p>
          <w:p w14:paraId="6ABCB6FA" w14:textId="04183CAA" w:rsidR="09C30C61" w:rsidRDefault="09C30C61" w:rsidP="005C21F0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Mulig forsinket utlevering og ev prioritert bruk av blod og blodkomponenter</w:t>
            </w:r>
          </w:p>
          <w:p w14:paraId="57F9A33A" w14:textId="2355379A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351F63" w14:textId="006B35B3" w:rsidR="26AF296F" w:rsidRDefault="26AF296F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FE7CC4" w14:textId="749B075C" w:rsidR="40EDA5D1" w:rsidRDefault="40EDA5D1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103E1FB4" w14:textId="10FEBF27" w:rsidR="23138F69" w:rsidRDefault="23138F69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9C30C61" w14:paraId="530781ED" w14:textId="77777777" w:rsidTr="2EDE5C95">
        <w:trPr>
          <w:trHeight w:val="1140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69A5BC" w14:textId="5E12FDD2" w:rsidR="09C30C61" w:rsidRDefault="09C30C61" w:rsidP="09C30C61">
            <w:pPr>
              <w:spacing w:after="0"/>
            </w:pPr>
            <w:r w:rsidRPr="09C30C61">
              <w:rPr>
                <w:b/>
                <w:bCs/>
                <w:sz w:val="20"/>
                <w:szCs w:val="20"/>
              </w:rPr>
              <w:t>Skadede lokaler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BAAB5C" w14:textId="41355C30" w:rsidR="57104D56" w:rsidRDefault="57104D56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17B9CE" w14:textId="60D8197B" w:rsidR="09C30C61" w:rsidRDefault="09C30C61" w:rsidP="09C30C61">
            <w:pPr>
              <w:spacing w:after="0"/>
            </w:pPr>
            <w:r w:rsidRPr="09C30C6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Konsekvens vil avhenge av skadeomfang på bygning (delvis/total)</w:t>
            </w:r>
          </w:p>
          <w:p w14:paraId="517466B4" w14:textId="6A22F0AB" w:rsidR="09C30C61" w:rsidRDefault="09C30C61" w:rsidP="005C21F0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bruk av mobil tappeenhet og eller tapping på annet sted</w:t>
            </w:r>
          </w:p>
          <w:p w14:paraId="21951EDA" w14:textId="294310DA" w:rsidR="09C30C61" w:rsidRDefault="09C30C61" w:rsidP="005C21F0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alternativ sted for produksjon og utlevering</w:t>
            </w:r>
          </w:p>
          <w:p w14:paraId="3CF235C8" w14:textId="1280FC74" w:rsidR="09C30C61" w:rsidRDefault="09C30C61" w:rsidP="005C21F0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Behov for alternativ oppbevaring av blod og blodkomponenter</w:t>
            </w:r>
          </w:p>
          <w:p w14:paraId="43F17AEC" w14:textId="466950B6" w:rsidR="09C30C61" w:rsidRDefault="09C30C61" w:rsidP="005C21F0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 w:rsidRPr="09C30C61">
              <w:rPr>
                <w:color w:val="000000" w:themeColor="text1"/>
                <w:sz w:val="20"/>
                <w:szCs w:val="20"/>
              </w:rPr>
              <w:t>Mulig forsinket utlevering og prioritert bruk av blod og blodkomponenter.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EF183B" w14:textId="1F8FB8EB" w:rsidR="1C4C9BA9" w:rsidRDefault="1C4C9BA9" w:rsidP="09C30C61">
            <w:pPr>
              <w:spacing w:after="0"/>
              <w:jc w:val="center"/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9C30C61" w:rsidRPr="09C30C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55856A5" w14:textId="35C824A8" w:rsidR="5AC4BE70" w:rsidRDefault="5AC4BE70" w:rsidP="09C30C6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9C30C61"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14:paraId="4A96F8C2" w14:textId="74FD50E5" w:rsidR="25BAFC31" w:rsidRDefault="25BAFC31" w:rsidP="09C30C6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9C30C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</w:tr>
    </w:tbl>
    <w:p w14:paraId="69D49B17" w14:textId="5487EC94" w:rsidR="09C30C61" w:rsidRDefault="09C30C61" w:rsidP="09C30C61"/>
    <w:sectPr w:rsidR="09C30C61" w:rsidSect="00706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E1FC6" w14:textId="77777777" w:rsidR="0019311E" w:rsidRDefault="0019311E" w:rsidP="005F642E">
      <w:pPr>
        <w:spacing w:after="0" w:line="240" w:lineRule="auto"/>
      </w:pPr>
      <w:r>
        <w:separator/>
      </w:r>
    </w:p>
  </w:endnote>
  <w:endnote w:type="continuationSeparator" w:id="0">
    <w:p w14:paraId="61882D0F" w14:textId="77777777" w:rsidR="0019311E" w:rsidRDefault="0019311E" w:rsidP="005F642E">
      <w:pPr>
        <w:spacing w:after="0" w:line="240" w:lineRule="auto"/>
      </w:pPr>
      <w:r>
        <w:continuationSeparator/>
      </w:r>
    </w:p>
  </w:endnote>
  <w:endnote w:type="continuationNotice" w:id="1">
    <w:p w14:paraId="60BCAD6E" w14:textId="77777777" w:rsidR="005C21F0" w:rsidRDefault="005C2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BE54" w14:textId="351021EC" w:rsidR="005F642E" w:rsidRDefault="005F6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4169C" w14:textId="5AD807D5" w:rsidR="005F642E" w:rsidRDefault="0038428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B15FCE" wp14:editId="412149B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Text Box 4" descr="{&quot;HashCode&quot;:-98446195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3EA19" w14:textId="0A608B5B" w:rsidR="00384288" w:rsidRPr="00384288" w:rsidRDefault="00384288" w:rsidP="003842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42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2CB15FCE">
              <v:stroke joinstyle="miter"/>
              <v:path gradientshapeok="t" o:connecttype="rect"/>
            </v:shapetype>
            <v:shape id="MSIPCM606a41f88e47e70fcafb49a0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984461956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CtxsHofAwAAPwYAAA4AAAAA&#10;AAAAAAAAAAAALgIAAGRycy9lMm9Eb2MueG1sUEsBAi0AFAAGAAgAAAAhAI493V/fAAAACwEAAA8A&#10;AAAAAAAAAAAAAAAAeQUAAGRycy9kb3ducmV2LnhtbFBLBQYAAAAABAAEAPMAAACFBgAAAAA=&#10;">
              <v:fill o:detectmouseclick="t"/>
              <v:textbox inset="20pt,0,,0">
                <w:txbxContent>
                  <w:p w:rsidRPr="00384288" w:rsidR="00384288" w:rsidP="00384288" w:rsidRDefault="00384288" w14:paraId="6043EA19" w14:textId="0A608B5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4288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F3D5F" w14:textId="0F74145D" w:rsidR="005F642E" w:rsidRDefault="005F6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0D955" w14:textId="77777777" w:rsidR="0019311E" w:rsidRDefault="0019311E" w:rsidP="005F642E">
      <w:pPr>
        <w:spacing w:after="0" w:line="240" w:lineRule="auto"/>
      </w:pPr>
      <w:r>
        <w:separator/>
      </w:r>
    </w:p>
  </w:footnote>
  <w:footnote w:type="continuationSeparator" w:id="0">
    <w:p w14:paraId="24A88F0B" w14:textId="77777777" w:rsidR="0019311E" w:rsidRDefault="0019311E" w:rsidP="005F642E">
      <w:pPr>
        <w:spacing w:after="0" w:line="240" w:lineRule="auto"/>
      </w:pPr>
      <w:r>
        <w:continuationSeparator/>
      </w:r>
    </w:p>
  </w:footnote>
  <w:footnote w:type="continuationNotice" w:id="1">
    <w:p w14:paraId="79C21141" w14:textId="77777777" w:rsidR="005C21F0" w:rsidRDefault="005C2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6DCDA" w14:textId="77777777" w:rsidR="00384288" w:rsidRDefault="0038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63A02" w14:textId="20B8DA56" w:rsidR="00384288" w:rsidRDefault="6F27A74C">
    <w:pPr>
      <w:pStyle w:val="Header"/>
    </w:pPr>
    <w:r>
      <w:t>Risikovurdering for kritiske risikoscenarioer.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37588" w14:textId="77777777" w:rsidR="00384288" w:rsidRDefault="00384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E47CF"/>
    <w:multiLevelType w:val="hybridMultilevel"/>
    <w:tmpl w:val="FFFFFFFF"/>
    <w:lvl w:ilvl="0" w:tplc="163C7D0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7CB25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1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67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8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CF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86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C4D5"/>
    <w:multiLevelType w:val="hybridMultilevel"/>
    <w:tmpl w:val="FFFFFFFF"/>
    <w:lvl w:ilvl="0" w:tplc="A2AC4F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2ABA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E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8C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46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0B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CE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1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96D46"/>
    <w:multiLevelType w:val="hybridMultilevel"/>
    <w:tmpl w:val="FFFFFFFF"/>
    <w:lvl w:ilvl="0" w:tplc="2E5C0E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5308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E7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E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4E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C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A4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CA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8174"/>
    <w:multiLevelType w:val="hybridMultilevel"/>
    <w:tmpl w:val="FFFFFFFF"/>
    <w:lvl w:ilvl="0" w:tplc="E514E7F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EB8A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EC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E6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45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C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5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0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D3877"/>
    <w:multiLevelType w:val="hybridMultilevel"/>
    <w:tmpl w:val="FFFFFFFF"/>
    <w:lvl w:ilvl="0" w:tplc="55C0142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A26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E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64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EF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43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83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CC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2C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1E49"/>
    <w:multiLevelType w:val="hybridMultilevel"/>
    <w:tmpl w:val="FFFFFFFF"/>
    <w:lvl w:ilvl="0" w:tplc="8DAEBD1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5A63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42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E6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42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2C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8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4A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60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2066D"/>
    <w:multiLevelType w:val="hybridMultilevel"/>
    <w:tmpl w:val="FFFFFFFF"/>
    <w:lvl w:ilvl="0" w:tplc="E18C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84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0C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A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4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C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0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6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A7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3720"/>
    <w:multiLevelType w:val="hybridMultilevel"/>
    <w:tmpl w:val="FFFFFFFF"/>
    <w:lvl w:ilvl="0" w:tplc="D25EEB0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A7ED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04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3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4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8D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E3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A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4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3C3B"/>
    <w:multiLevelType w:val="hybridMultilevel"/>
    <w:tmpl w:val="FFFFFFFF"/>
    <w:lvl w:ilvl="0" w:tplc="BAB66C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C12B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3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6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2E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B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69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A3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AF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02402">
    <w:abstractNumId w:val="6"/>
  </w:num>
  <w:num w:numId="2" w16cid:durableId="1626695300">
    <w:abstractNumId w:val="1"/>
  </w:num>
  <w:num w:numId="3" w16cid:durableId="396824904">
    <w:abstractNumId w:val="3"/>
  </w:num>
  <w:num w:numId="4" w16cid:durableId="613905629">
    <w:abstractNumId w:val="4"/>
  </w:num>
  <w:num w:numId="5" w16cid:durableId="497112338">
    <w:abstractNumId w:val="7"/>
  </w:num>
  <w:num w:numId="6" w16cid:durableId="1195265014">
    <w:abstractNumId w:val="2"/>
  </w:num>
  <w:num w:numId="7" w16cid:durableId="1202090940">
    <w:abstractNumId w:val="5"/>
  </w:num>
  <w:num w:numId="8" w16cid:durableId="1511749294">
    <w:abstractNumId w:val="8"/>
  </w:num>
  <w:num w:numId="9" w16cid:durableId="188390859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5B"/>
    <w:rsid w:val="000670FD"/>
    <w:rsid w:val="00145FDF"/>
    <w:rsid w:val="0019311E"/>
    <w:rsid w:val="001C6478"/>
    <w:rsid w:val="002133D3"/>
    <w:rsid w:val="002351C6"/>
    <w:rsid w:val="002C1E55"/>
    <w:rsid w:val="00333557"/>
    <w:rsid w:val="00384288"/>
    <w:rsid w:val="003C28FD"/>
    <w:rsid w:val="003F3E88"/>
    <w:rsid w:val="00411A03"/>
    <w:rsid w:val="00413708"/>
    <w:rsid w:val="00445203"/>
    <w:rsid w:val="00530F47"/>
    <w:rsid w:val="00565355"/>
    <w:rsid w:val="005757D6"/>
    <w:rsid w:val="005C21F0"/>
    <w:rsid w:val="005F642E"/>
    <w:rsid w:val="0064664C"/>
    <w:rsid w:val="0070675B"/>
    <w:rsid w:val="00790077"/>
    <w:rsid w:val="007A7C81"/>
    <w:rsid w:val="007C030E"/>
    <w:rsid w:val="00B70E5F"/>
    <w:rsid w:val="00D23997"/>
    <w:rsid w:val="00D575F4"/>
    <w:rsid w:val="00DA78F9"/>
    <w:rsid w:val="00DE34EC"/>
    <w:rsid w:val="00E55CC4"/>
    <w:rsid w:val="0272BC12"/>
    <w:rsid w:val="03A042E6"/>
    <w:rsid w:val="053DB486"/>
    <w:rsid w:val="0568E5BD"/>
    <w:rsid w:val="0592B649"/>
    <w:rsid w:val="06247D6B"/>
    <w:rsid w:val="06684A5C"/>
    <w:rsid w:val="06F395FC"/>
    <w:rsid w:val="0704B61E"/>
    <w:rsid w:val="07BCD721"/>
    <w:rsid w:val="08A0867F"/>
    <w:rsid w:val="08AFE3CD"/>
    <w:rsid w:val="093EA95C"/>
    <w:rsid w:val="09C30C61"/>
    <w:rsid w:val="0A3C56E0"/>
    <w:rsid w:val="0ADA79BD"/>
    <w:rsid w:val="0AF5C101"/>
    <w:rsid w:val="0CB2C1D7"/>
    <w:rsid w:val="0D88EFEB"/>
    <w:rsid w:val="0FEA6299"/>
    <w:rsid w:val="104413AB"/>
    <w:rsid w:val="10AB9864"/>
    <w:rsid w:val="11DF0724"/>
    <w:rsid w:val="13FBF7AC"/>
    <w:rsid w:val="140DD8C8"/>
    <w:rsid w:val="148BC6EB"/>
    <w:rsid w:val="1659A41D"/>
    <w:rsid w:val="16F31A66"/>
    <w:rsid w:val="171AD9E8"/>
    <w:rsid w:val="17ED4590"/>
    <w:rsid w:val="19A95003"/>
    <w:rsid w:val="1C4C9BA9"/>
    <w:rsid w:val="1C5F85A0"/>
    <w:rsid w:val="1C784046"/>
    <w:rsid w:val="1CC8E5A1"/>
    <w:rsid w:val="1DABF50E"/>
    <w:rsid w:val="1F92A14B"/>
    <w:rsid w:val="202A56EF"/>
    <w:rsid w:val="206EFF1C"/>
    <w:rsid w:val="2208EC7C"/>
    <w:rsid w:val="23138F69"/>
    <w:rsid w:val="243D01FD"/>
    <w:rsid w:val="25BAFC31"/>
    <w:rsid w:val="26A5449F"/>
    <w:rsid w:val="26AF296F"/>
    <w:rsid w:val="270EAE6B"/>
    <w:rsid w:val="2CDF096B"/>
    <w:rsid w:val="2DF0751E"/>
    <w:rsid w:val="2E7AD9CC"/>
    <w:rsid w:val="2EDE5C95"/>
    <w:rsid w:val="2F7E06F6"/>
    <w:rsid w:val="328D3A56"/>
    <w:rsid w:val="33352292"/>
    <w:rsid w:val="35016624"/>
    <w:rsid w:val="367CB915"/>
    <w:rsid w:val="36E4476B"/>
    <w:rsid w:val="388017CC"/>
    <w:rsid w:val="39AA03D9"/>
    <w:rsid w:val="3A800A0C"/>
    <w:rsid w:val="3F6D980D"/>
    <w:rsid w:val="4067635A"/>
    <w:rsid w:val="406B284C"/>
    <w:rsid w:val="40EDA5D1"/>
    <w:rsid w:val="443DDB3E"/>
    <w:rsid w:val="471D1663"/>
    <w:rsid w:val="475A9D74"/>
    <w:rsid w:val="48893741"/>
    <w:rsid w:val="494F04F1"/>
    <w:rsid w:val="4AE12F55"/>
    <w:rsid w:val="4D04C97E"/>
    <w:rsid w:val="4DDE22C3"/>
    <w:rsid w:val="4E43C0EF"/>
    <w:rsid w:val="4EBB702B"/>
    <w:rsid w:val="4F0D6AA0"/>
    <w:rsid w:val="51FF455D"/>
    <w:rsid w:val="522BE305"/>
    <w:rsid w:val="533AC7BD"/>
    <w:rsid w:val="545D1A9F"/>
    <w:rsid w:val="54B43DFD"/>
    <w:rsid w:val="567ED8A3"/>
    <w:rsid w:val="57104D56"/>
    <w:rsid w:val="59D6BFF5"/>
    <w:rsid w:val="5AC4BE70"/>
    <w:rsid w:val="5B9F3E53"/>
    <w:rsid w:val="5DBAA06E"/>
    <w:rsid w:val="5E88F765"/>
    <w:rsid w:val="60613F7F"/>
    <w:rsid w:val="616B0135"/>
    <w:rsid w:val="6199F961"/>
    <w:rsid w:val="620EAE97"/>
    <w:rsid w:val="63DCA840"/>
    <w:rsid w:val="642136D2"/>
    <w:rsid w:val="643F9708"/>
    <w:rsid w:val="64792C2E"/>
    <w:rsid w:val="66D08103"/>
    <w:rsid w:val="69CB526D"/>
    <w:rsid w:val="69F36DCD"/>
    <w:rsid w:val="6A0821C5"/>
    <w:rsid w:val="6BA3F226"/>
    <w:rsid w:val="6BBA3643"/>
    <w:rsid w:val="6DACCB7D"/>
    <w:rsid w:val="6DBA897C"/>
    <w:rsid w:val="6F27A74C"/>
    <w:rsid w:val="6F68FD92"/>
    <w:rsid w:val="701919D6"/>
    <w:rsid w:val="71A74CFC"/>
    <w:rsid w:val="7398C259"/>
    <w:rsid w:val="74138983"/>
    <w:rsid w:val="76E6A4CD"/>
    <w:rsid w:val="77F3B3D2"/>
    <w:rsid w:val="7810D925"/>
    <w:rsid w:val="788A62B4"/>
    <w:rsid w:val="7A263315"/>
    <w:rsid w:val="7C319A07"/>
    <w:rsid w:val="7D55E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03600"/>
  <w15:chartTrackingRefBased/>
  <w15:docId w15:val="{B48C1044-0EA5-4276-ACCA-2394F7FA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che List Paragraph,1st level - Bullet List Paragraph,Lettre d'introduction,Normal bullet 2,Bullet list,Listenabsatz1,OM numbered bullets,Table of contents numbered,F5 List Paragraph,Numbered List,Bullet EY,List Paragraph11,Nad"/>
    <w:basedOn w:val="Normal"/>
    <w:link w:val="ListParagraphChar"/>
    <w:uiPriority w:val="34"/>
    <w:qFormat/>
    <w:rsid w:val="0070675B"/>
    <w:pPr>
      <w:ind w:left="720"/>
      <w:contextualSpacing/>
    </w:pPr>
  </w:style>
  <w:style w:type="character" w:customStyle="1" w:styleId="ListParagraphChar">
    <w:name w:val="List Paragraph Char"/>
    <w:aliases w:val="Fiche List Paragraph Char,1st level - Bullet List Paragraph Char,Lettre d'introduction Char,Normal bullet 2 Char,Bullet list Char,Listenabsatz1 Char,OM numbered bullets Char,Table of contents numbered Char,F5 List Paragraph Char"/>
    <w:basedOn w:val="DefaultParagraphFont"/>
    <w:link w:val="ListParagraph"/>
    <w:uiPriority w:val="34"/>
    <w:rsid w:val="0070675B"/>
  </w:style>
  <w:style w:type="paragraph" w:customStyle="1" w:styleId="paragraph">
    <w:name w:val="paragraph"/>
    <w:basedOn w:val="Normal"/>
    <w:rsid w:val="0070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5F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2E"/>
  </w:style>
  <w:style w:type="paragraph" w:styleId="Header">
    <w:name w:val="header"/>
    <w:basedOn w:val="Normal"/>
    <w:link w:val="HeaderChar"/>
    <w:uiPriority w:val="99"/>
    <w:unhideWhenUsed/>
    <w:rsid w:val="0038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28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</documentManagement>
</p:properties>
</file>

<file path=customXml/itemProps1.xml><?xml version="1.0" encoding="utf-8"?>
<ds:datastoreItem xmlns:ds="http://schemas.openxmlformats.org/officeDocument/2006/customXml" ds:itemID="{DE71A04E-953F-46BF-AC5E-C79D85CE6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003A9-5BF6-452A-B0D6-07289ED1F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9ADF8-4EB7-41AC-A8D1-BB376D93837C}">
  <ds:schemaRefs>
    <ds:schemaRef ds:uri="a1dd2420-10e9-4f2f-827f-c9cf9a783505"/>
    <ds:schemaRef ds:uri="http://purl.org/dc/elements/1.1/"/>
    <ds:schemaRef ds:uri="http://schemas.microsoft.com/office/2006/metadata/properties"/>
    <ds:schemaRef ds:uri="http://purl.org/dc/terms/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3682</Characters>
  <Application>Microsoft Office Word</Application>
  <DocSecurity>4</DocSecurity>
  <Lines>30</Lines>
  <Paragraphs>8</Paragraphs>
  <ScaleCrop>false</ScaleCrop>
  <Company>Helse Midt-Norge IT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Haugnæss, Lene</dc:creator>
  <cp:keywords/>
  <dc:description/>
  <cp:lastModifiedBy>Apelseth, Torunn Oveland</cp:lastModifiedBy>
  <cp:revision>9</cp:revision>
  <dcterms:created xsi:type="dcterms:W3CDTF">2023-09-13T07:39:00Z</dcterms:created>
  <dcterms:modified xsi:type="dcterms:W3CDTF">2023-12-15T12:54:00Z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0x010100761EBFC361CB4646948031A344D74B7C</vt:lpwstr>
  </property>
  <property fmtid="{D5CDD505-2E9C-101B-9397-08002B2CF9AE}" pid="3" name="MediaServiceImageTags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2023-09-13T07:39:07Z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46e9b387-ecaa-45a8-864a-64c3d9e8200c</vt:lpwstr>
  </property>
  <property fmtid="{D5CDD505-2E9C-101B-9397-08002B2CF9AE}" pid="10" name="MSIP_Label_0c3ffc1c-ef00-4620-9c2f-7d9c1597774b_ContentBits">
    <vt:lpwstr>2</vt:lpwstr>
  </property>
</Properties>
</file>